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43E4" w14:textId="77777777" w:rsidR="006B218A" w:rsidRPr="008E0570" w:rsidRDefault="006B218A" w:rsidP="006B218A">
      <w:pPr>
        <w:jc w:val="both"/>
        <w:rPr>
          <w:rFonts w:ascii="Calibri Light" w:hAnsi="Calibri Light" w:cs="Calibri Light"/>
          <w:b/>
          <w:bCs/>
        </w:rPr>
      </w:pPr>
    </w:p>
    <w:p w14:paraId="608E47A9" w14:textId="26037558" w:rsidR="006B218A" w:rsidRPr="006E0E6B" w:rsidRDefault="006B218A" w:rsidP="006B218A">
      <w:pPr>
        <w:jc w:val="both"/>
        <w:rPr>
          <w:rFonts w:ascii="Calibri Light" w:eastAsiaTheme="minorHAnsi" w:hAnsi="Calibri Light" w:cs="Calibri Light"/>
          <w:bCs/>
          <w:sz w:val="22"/>
          <w:szCs w:val="22"/>
          <w:lang w:val="en-GB"/>
        </w:rPr>
      </w:pPr>
      <w:r w:rsidRPr="006E0E6B">
        <w:rPr>
          <w:rFonts w:ascii="Calibri Light" w:eastAsiaTheme="minorHAnsi" w:hAnsi="Calibri Light" w:cs="Calibri Light"/>
          <w:bCs/>
          <w:sz w:val="22"/>
          <w:szCs w:val="22"/>
          <w:lang w:val="en-GB"/>
        </w:rPr>
        <w:t xml:space="preserve">During the term of this Agreement, the Editor agrees to perform the following services with respect to the Journal, conscientiously, expeditiously, and to the best of the Editor’s ability: </w:t>
      </w:r>
    </w:p>
    <w:p w14:paraId="4D32831F" w14:textId="77777777" w:rsidR="006E0E6B" w:rsidRDefault="006E0E6B" w:rsidP="006B218A">
      <w:pPr>
        <w:jc w:val="both"/>
        <w:rPr>
          <w:rFonts w:ascii="Calibri Light" w:hAnsi="Calibri Light" w:cs="Calibri Light"/>
          <w:bCs/>
        </w:rPr>
      </w:pPr>
    </w:p>
    <w:p w14:paraId="064F55F0" w14:textId="2CA09ACD" w:rsidR="006E0E6B" w:rsidRPr="006E0E6B" w:rsidRDefault="006E0E6B" w:rsidP="006E0E6B">
      <w:pPr>
        <w:pStyle w:val="ListParagraph"/>
        <w:numPr>
          <w:ilvl w:val="0"/>
          <w:numId w:val="11"/>
        </w:numPr>
        <w:rPr>
          <w:rFonts w:ascii="Calibri Light" w:hAnsi="Calibri Light" w:cs="Calibri Light"/>
          <w:bCs/>
        </w:rPr>
      </w:pPr>
      <w:r w:rsidRPr="006E0E6B">
        <w:rPr>
          <w:rFonts w:ascii="Calibri Light" w:hAnsi="Calibri Light" w:cs="Calibri Light"/>
          <w:bCs/>
        </w:rPr>
        <w:t>to establish editorial policy and define the aims and scope of the Journal (current description of the scope and subject matter of the Journal attached hereto as Exhibit 1) and decide upon procedures and standards for the acceptance of manuscripts, in consultation with and with the approval of the Academy and the Publisher and generally provide the services of an ‘editor-in chief’. Changes in current editorial policies or aims and scope of the Journal shall only be made by mutual agreement between the Parties;</w:t>
      </w:r>
    </w:p>
    <w:p w14:paraId="129EA4FE"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(b) to solicit the submission of high-quality contributions to the Journal (the "Contributions"), to invite review articles, select supplements, and to oversee any other special features of the Journal (book reviews, letters and so forth) as appropriate;</w:t>
      </w:r>
    </w:p>
    <w:p w14:paraId="1FD5EAEC"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(c) in consultation with and with the approval of the Academy and the Publisher, select any new members of the Editorial Board which shall advise the Editor with respect to editorial policy and assist in reviewing Contributions, and to ensure that each such Editorial Board member shall authorize the use of his/her/their name as specified in Section 11 below;</w:t>
      </w:r>
    </w:p>
    <w:p w14:paraId="25231E1D"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(d) to evaluate submitted Contributions, in accordance with the editorial policy consistently applied and using the electronic editorial system provided by the Publisher, and to select suitable Contributions for the review process for the Journal;</w:t>
      </w:r>
    </w:p>
    <w:p w14:paraId="718B1A11"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(e) to arrange for and supervise the independent, objective, and unbiased peer review of Contributions in accordance with the peer review policies set by the Academy and the Publisher mentioned below. The Editor agrees to facilitate the peer review process by assigning Contributions to suitably qualified experts who are Associate Editors, members of the Editorial Board or ad hoc using the electronic editorial office system provided and maintained by the Publisher to make or request</w:t>
      </w:r>
      <w:r w:rsidRPr="006E0E6B">
        <w:rPr>
          <w:rFonts w:ascii="Calibri Light" w:hAnsi="Calibri Light" w:cs="Calibri Light"/>
          <w:bCs/>
        </w:rPr>
        <w:br/>
        <w:t>the authors (the “Contributors”) to make such revisions as the Editor and/or reviewers deem appropriate, and to reject or refer to relevant Wiley journals any Contributions the reviewers and/or Editor deem unsatisfactory; the Editor will communicate on a timely basis with authors regarding receipt, acceptance, revision, or rejection of submitted Contributions.  Where the Publisher provides in-house peer review management, work with the representative of the Publisher who will</w:t>
      </w:r>
      <w:r w:rsidRPr="006E0E6B">
        <w:rPr>
          <w:rFonts w:ascii="Calibri Light" w:hAnsi="Calibri Light" w:cs="Calibri Light"/>
          <w:bCs/>
        </w:rPr>
        <w:br/>
        <w:t>provide administrative services within the peer review workflow; these services will be limited to communication, monitoring, expediting, and auditing necessary to assure that this workflow functions effectively at all times and in accordance with editorial standards and practices established by the Publisher; this representative will in addition be responsible for any modifications made to the electronic editorial system;</w:t>
      </w:r>
    </w:p>
    <w:p w14:paraId="7BCD6E2C"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(f) to comply with generally accepted publication ethics and best practices, including the Core Practices and associated guidelines set forth by the Committee on Publication Ethics (a not-for-profit organization based in the UK https://publicationethics.org/core-practices) (“Core Practices”), and all applicable policies set by the Publisher, including but not limited to Publisher’s Best Practice Guidelines on Research Integrity and Publishing Ethics (“Best Practice Guidelines”); and to ensure that the policies and procedures the Editor employs with respect to the Journal are consistent with the Core Practices and Best Practice Guidelines and other policies of the Publisher (including Publisher’s Vendor Code</w:t>
      </w:r>
      <w:r w:rsidRPr="006E0E6B">
        <w:rPr>
          <w:rFonts w:ascii="Calibri Light" w:hAnsi="Calibri Light" w:cs="Calibri Light"/>
          <w:bCs/>
        </w:rPr>
        <w:br/>
        <w:t xml:space="preserve">of Conduct); and ensure that the corresponding Contributor of an accepted Contribution declares any potential conflicts of interest; </w:t>
      </w:r>
    </w:p>
    <w:p w14:paraId="4AFE7C3E"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lastRenderedPageBreak/>
        <w:br/>
        <w:t>(g) to abide by the agreed workflow procedure using the electronic editorial office system provided and maintained by the Publisher to facilitate peer review and to work with the representative of the Publisher who shall provide administrative services within the peer review workflow; these services will be limited to communication, monitoring, expediting, and auditing necessary to assure that this workflow functions effectively at all times and in accordance with editorial standards</w:t>
      </w:r>
      <w:r w:rsidRPr="006E0E6B">
        <w:rPr>
          <w:rFonts w:ascii="Calibri Light" w:hAnsi="Calibri Light" w:cs="Calibri Light"/>
          <w:bCs/>
        </w:rPr>
        <w:br/>
        <w:t>and practices established by the Publisher; this representative will in addition be responsible for making any necessary modifications to the electronic editorial system;</w:t>
      </w:r>
    </w:p>
    <w:p w14:paraId="02B992E2"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(h) to encourage each Contributor of an accepted Contribution to provide the data underlying the Contribution to the Academy and the Publisher for sharing pursuant to Creative Commons CC-0 license;</w:t>
      </w:r>
    </w:p>
    <w:p w14:paraId="726D9F80"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(i) to assume editorial responsibility for the timely submission to the Publisher of the final Contributions in the English language, in format, content and style satisfactory to the Publisher in accordance with the current guidelines to authors ("Author Guidelines") and in accordance with the annual production schedule to be set by the Publisher, together with any illustrations (in a form appropriate for direct use without redrawing or retouching unless otherwise agreed), any</w:t>
      </w:r>
      <w:r>
        <w:rPr>
          <w:rFonts w:ascii="Calibri Light" w:hAnsi="Calibri Light" w:cs="Calibri Light"/>
          <w:bCs/>
        </w:rPr>
        <w:t xml:space="preserve"> </w:t>
      </w:r>
      <w:r w:rsidRPr="006E0E6B">
        <w:rPr>
          <w:rFonts w:ascii="Calibri Light" w:hAnsi="Calibri Light" w:cs="Calibri Light"/>
          <w:bCs/>
        </w:rPr>
        <w:t>supplementary material, any other material required by the Publisher and any necessary permissions for use of third-party content or other signed agreements. All materials provided to the Publisher shall be presented in the format agreed between the parties. The Editor shall make reasonable efforts to notify the Publisher in advance of contributions that the Editor believes may be controversial and/or newsworthy;</w:t>
      </w:r>
    </w:p>
    <w:p w14:paraId="2344022C"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(j) to review and suggest corrections to electronic proofs if requested by the Publisher to do so. Any corrections must be returned by the due date set by the Publisher;</w:t>
      </w:r>
    </w:p>
    <w:p w14:paraId="35BA2828"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(k) to meet and confer with the Academy's and the Publisher’s personnel at such times as reasonably requested;</w:t>
      </w:r>
    </w:p>
    <w:p w14:paraId="317BDECB"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(l) to make best efforts to ensure the currency and accuracy of the contents of each Contribution provided for each issue of the Journal as of the date on which the issue's contents are forwarded to the Publisher and to perform all other editorial services usually performed by journal editors;</w:t>
      </w:r>
    </w:p>
    <w:p w14:paraId="556049BE"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(m) to disallow the provision of printer-ready material by Contributors; and</w:t>
      </w:r>
    </w:p>
    <w:p w14:paraId="2FC157A2"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(n) to follow Publisher’s best practices with respect to transferring manuscripts and associated peer review and other material between like-minded Wiley published journals. Editors are expected to refer and receive manuscripts of an acceptable quality (with associated peer review and other material) from journals within their network in accordance with such best practices.</w:t>
      </w:r>
    </w:p>
    <w:p w14:paraId="1CA3670C" w14:textId="77777777" w:rsidR="006E0E6B" w:rsidRDefault="006E0E6B" w:rsidP="006E0E6B">
      <w:pPr>
        <w:pStyle w:val="ListParagraph"/>
        <w:rPr>
          <w:rFonts w:ascii="Calibri Light" w:hAnsi="Calibri Light" w:cs="Calibri Light"/>
          <w:bCs/>
        </w:rPr>
      </w:pPr>
      <w:r w:rsidRPr="006E0E6B">
        <w:rPr>
          <w:rFonts w:ascii="Calibri Light" w:hAnsi="Calibri Light" w:cs="Calibri Light"/>
          <w:bCs/>
        </w:rPr>
        <w:br/>
        <w:t>(o) Publisher is committed to advancing diversity, equity and inclusion. In consultation with Publisher, Editor will endeavor to promote diversity, equity and inclusion in the editorial processes and policies of the Journal. In particular, the Editor will endeavor to ensure the best possible diversity, equity and inclusion in its Editorial Board, reviewer pool and authorship.  The Editor will uphold that commitment by taking the following actions, where possible: (i)regularly reviewing the Editorial Board and reviewer pool for diversity (by way of example, “diversity” may refer to the vast range of human differences,</w:t>
      </w:r>
      <w:r w:rsidRPr="006E0E6B">
        <w:rPr>
          <w:rFonts w:ascii="Calibri Light" w:hAnsi="Calibri Light" w:cs="Calibri Light"/>
          <w:bCs/>
        </w:rPr>
        <w:br/>
        <w:t xml:space="preserve">identities, and social groups including but not limited to race, ethnicity, creed, color, sex, sexual orientation, gender identity, language, culture, national origin, religion/spirituality, age, disability, military/veteran status, policy perspective, and associated preferences), equity (by way of example, “equity” may refer to building and maintain fair and just practices and policies that ensure individuals can grow and thrive; it also means acknowledging that structural inequalities exist and that historic inequalities can advantage some and disadvantage others), and inclusion (by way of example, </w:t>
      </w:r>
      <w:r w:rsidRPr="006E0E6B">
        <w:rPr>
          <w:rFonts w:ascii="Calibri Light" w:hAnsi="Calibri Light" w:cs="Calibri Light"/>
          <w:bCs/>
        </w:rPr>
        <w:lastRenderedPageBreak/>
        <w:t>“inclusion” may refer to a community where all people are respected, feel welcome, have a sense of belonging, and can participate and achieve their highest potential); (ii) making diverse and inclusive appointments to the Editorial Board and reviewer pool; and (iii) reporting immediately to the Publisher any incidents of harassment or discrimination by members of the Editorial Board or reviewers against an individual on the grounds of age, ancestry, color, religious creed, physical or mental</w:t>
      </w:r>
      <w:r w:rsidRPr="006E0E6B">
        <w:rPr>
          <w:rFonts w:ascii="Calibri Light" w:hAnsi="Calibri Light" w:cs="Calibri Light"/>
          <w:bCs/>
        </w:rPr>
        <w:br/>
        <w:t>disability, marital status, medical condition, genetic information, military and veteran status, national origin, race, sex, gender, gender identity, gender expression, sexual identity, sexual orientation, political affiliation, or any other category protected by law.</w:t>
      </w:r>
    </w:p>
    <w:p w14:paraId="67174C41" w14:textId="274BA91C" w:rsidR="006E0E6B" w:rsidRPr="006E0E6B" w:rsidRDefault="006E0E6B" w:rsidP="006E0E6B">
      <w:pPr>
        <w:pStyle w:val="ListParagraph"/>
        <w:rPr>
          <w:rFonts w:ascii="Calibri Light" w:hAnsi="Calibri Light" w:cs="Calibri Light"/>
          <w:bCs/>
        </w:rPr>
      </w:pPr>
      <w:r w:rsidRPr="006E0E6B">
        <w:rPr>
          <w:rFonts w:ascii="Calibri Light" w:hAnsi="Calibri Light" w:cs="Calibri Light"/>
          <w:bCs/>
        </w:rPr>
        <w:br/>
        <w:t>(p) to oversee and be ultimately accountable for the activities and performance of other decision-making editors appointed to the Journal (including handling of peer review, time to decision, and adherence to editorial and journal policy) and to notify the Publisher of any performance concerns regarding such editors;</w:t>
      </w:r>
    </w:p>
    <w:p w14:paraId="4D600353" w14:textId="77777777" w:rsidR="006B218A" w:rsidRPr="008E0570" w:rsidRDefault="006B218A" w:rsidP="006B218A">
      <w:pPr>
        <w:jc w:val="both"/>
        <w:rPr>
          <w:rFonts w:ascii="Calibri Light" w:hAnsi="Calibri Light" w:cs="Calibri Light"/>
          <w:bCs/>
        </w:rPr>
      </w:pPr>
    </w:p>
    <w:sectPr w:rsidR="006B218A" w:rsidRPr="008E0570" w:rsidSect="008C08A7">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000C" w14:textId="77777777" w:rsidR="006B218A" w:rsidRDefault="006B218A" w:rsidP="008C08A7">
      <w:r>
        <w:separator/>
      </w:r>
    </w:p>
  </w:endnote>
  <w:endnote w:type="continuationSeparator" w:id="0">
    <w:p w14:paraId="3AFA269A" w14:textId="77777777" w:rsidR="006B218A" w:rsidRDefault="006B218A" w:rsidP="008C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CB74" w14:textId="77777777" w:rsidR="007D251B" w:rsidRDefault="007D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2113" w14:textId="7EF5FED1" w:rsidR="006E0E6B" w:rsidRDefault="006E0E6B">
    <w:pPr>
      <w:pStyle w:val="Footer"/>
      <w:rPr>
        <w:lang w:val="en-US"/>
      </w:rPr>
    </w:pPr>
    <w:r>
      <w:fldChar w:fldCharType="begin"/>
    </w:r>
    <w:r>
      <w:rPr>
        <w:lang w:val="en-US"/>
      </w:rPr>
      <w:instrText xml:space="preserve"> DATE \@ "d-MMM-yy" </w:instrText>
    </w:r>
    <w:r>
      <w:fldChar w:fldCharType="separate"/>
    </w:r>
    <w:r w:rsidR="0093372D">
      <w:rPr>
        <w:noProof/>
        <w:lang w:val="en-US"/>
      </w:rPr>
      <w:t>19-Mar-25</w:t>
    </w:r>
    <w:r>
      <w:fldChar w:fldCharType="end"/>
    </w:r>
  </w:p>
  <w:p w14:paraId="056165C5" w14:textId="4BECA17C" w:rsidR="006E0E6B" w:rsidRDefault="006E0E6B">
    <w:pPr>
      <w:pStyle w:val="Footer"/>
    </w:pPr>
    <w:r>
      <w:rPr>
        <w:lang w:val="en-US"/>
      </w:rPr>
      <w:fldChar w:fldCharType="begin"/>
    </w:r>
    <w:r>
      <w:rPr>
        <w:lang w:val="en-US"/>
      </w:rPr>
      <w:instrText xml:space="preserve"> FILENAME \* MERGEFORMAT </w:instrText>
    </w:r>
    <w:r>
      <w:rPr>
        <w:lang w:val="en-US"/>
      </w:rPr>
      <w:fldChar w:fldCharType="separate"/>
    </w:r>
    <w:r>
      <w:rPr>
        <w:noProof/>
        <w:lang w:val="en-US"/>
      </w:rPr>
      <w:t>2025 - PAI Editor - Job Description</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AE64" w14:textId="77777777" w:rsidR="007D251B" w:rsidRDefault="007D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9308" w14:textId="77777777" w:rsidR="006B218A" w:rsidRDefault="006B218A" w:rsidP="008C08A7">
      <w:r>
        <w:separator/>
      </w:r>
    </w:p>
  </w:footnote>
  <w:footnote w:type="continuationSeparator" w:id="0">
    <w:p w14:paraId="61CC1C11" w14:textId="77777777" w:rsidR="006B218A" w:rsidRDefault="006B218A" w:rsidP="008C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3D65" w14:textId="77777777" w:rsidR="007D251B" w:rsidRDefault="007D2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Borders>
        <w:bottom w:val="single" w:sz="4" w:space="0" w:color="auto"/>
      </w:tblBorders>
      <w:tblLayout w:type="fixed"/>
      <w:tblCellMar>
        <w:left w:w="70" w:type="dxa"/>
        <w:right w:w="70" w:type="dxa"/>
      </w:tblCellMar>
      <w:tblLook w:val="0000" w:firstRow="0" w:lastRow="0" w:firstColumn="0" w:lastColumn="0" w:noHBand="0" w:noVBand="0"/>
    </w:tblPr>
    <w:tblGrid>
      <w:gridCol w:w="2197"/>
      <w:gridCol w:w="3332"/>
      <w:gridCol w:w="4464"/>
    </w:tblGrid>
    <w:tr w:rsidR="008C08A7" w:rsidRPr="008C08A7" w14:paraId="07B60A25" w14:textId="77777777" w:rsidTr="005A3F12">
      <w:tc>
        <w:tcPr>
          <w:tcW w:w="2197" w:type="dxa"/>
          <w:tcBorders>
            <w:bottom w:val="single" w:sz="4" w:space="0" w:color="4F81BD" w:themeColor="accent1"/>
          </w:tcBorders>
        </w:tcPr>
        <w:p w14:paraId="2057FCAA" w14:textId="77777777" w:rsidR="008C08A7" w:rsidRPr="00F4422C" w:rsidRDefault="007D251B" w:rsidP="008C08A7">
          <w:pPr>
            <w:pStyle w:val="Header"/>
            <w:rPr>
              <w:color w:val="002060"/>
              <w:sz w:val="16"/>
              <w:szCs w:val="16"/>
            </w:rPr>
          </w:pPr>
          <w:r>
            <w:rPr>
              <w:color w:val="002060"/>
              <w:sz w:val="16"/>
              <w:szCs w:val="16"/>
            </w:rPr>
            <w:pict w14:anchorId="65A05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37.9pt">
                <v:imagedata r:id="rId1" o:title="EAACI LOGO CMYK very small"/>
              </v:shape>
            </w:pict>
          </w:r>
        </w:p>
      </w:tc>
      <w:tc>
        <w:tcPr>
          <w:tcW w:w="3332" w:type="dxa"/>
          <w:tcBorders>
            <w:bottom w:val="single" w:sz="4" w:space="0" w:color="4F81BD" w:themeColor="accent1"/>
          </w:tcBorders>
          <w:vAlign w:val="center"/>
        </w:tcPr>
        <w:p w14:paraId="6A84BB2E" w14:textId="77777777" w:rsidR="008C08A7" w:rsidRPr="005A3F12" w:rsidRDefault="008C08A7" w:rsidP="005A3F12">
          <w:pPr>
            <w:pStyle w:val="Header"/>
            <w:jc w:val="center"/>
            <w:rPr>
              <w:color w:val="002060"/>
              <w:sz w:val="24"/>
              <w:szCs w:val="16"/>
            </w:rPr>
          </w:pPr>
        </w:p>
      </w:tc>
      <w:tc>
        <w:tcPr>
          <w:tcW w:w="4464" w:type="dxa"/>
          <w:tcBorders>
            <w:bottom w:val="single" w:sz="4" w:space="0" w:color="4F81BD" w:themeColor="accent1"/>
          </w:tcBorders>
          <w:vAlign w:val="center"/>
        </w:tcPr>
        <w:p w14:paraId="5F89C2DD" w14:textId="37CD2977" w:rsidR="006B218A" w:rsidRDefault="0093372D" w:rsidP="005A3F12">
          <w:pPr>
            <w:pStyle w:val="Header"/>
            <w:jc w:val="right"/>
            <w:rPr>
              <w:color w:val="002060"/>
              <w:sz w:val="24"/>
              <w:szCs w:val="16"/>
              <w:lang w:val="en-CH"/>
            </w:rPr>
          </w:pPr>
          <w:r>
            <w:rPr>
              <w:color w:val="002060"/>
              <w:sz w:val="24"/>
              <w:szCs w:val="16"/>
              <w:lang w:val="en-CH"/>
            </w:rPr>
            <w:t>PAI</w:t>
          </w:r>
          <w:r w:rsidR="007D251B">
            <w:rPr>
              <w:color w:val="002060"/>
              <w:sz w:val="24"/>
              <w:szCs w:val="16"/>
              <w:lang w:val="en-CH"/>
            </w:rPr>
            <w:t xml:space="preserve"> </w:t>
          </w:r>
          <w:r w:rsidR="006B218A">
            <w:rPr>
              <w:color w:val="002060"/>
              <w:sz w:val="24"/>
              <w:szCs w:val="16"/>
              <w:lang w:val="en-CH"/>
            </w:rPr>
            <w:t xml:space="preserve">Journal </w:t>
          </w:r>
        </w:p>
        <w:p w14:paraId="4387BEFF" w14:textId="28336D17" w:rsidR="0022144B" w:rsidRDefault="006B218A" w:rsidP="005A3F12">
          <w:pPr>
            <w:pStyle w:val="Header"/>
            <w:jc w:val="right"/>
            <w:rPr>
              <w:color w:val="002060"/>
              <w:sz w:val="24"/>
              <w:szCs w:val="16"/>
              <w:lang w:val="en-CH"/>
            </w:rPr>
          </w:pPr>
          <w:r>
            <w:rPr>
              <w:color w:val="002060"/>
              <w:sz w:val="24"/>
              <w:szCs w:val="16"/>
              <w:lang w:val="en-CH"/>
            </w:rPr>
            <w:t>Editor-in-Chief</w:t>
          </w:r>
        </w:p>
        <w:p w14:paraId="010DC11C" w14:textId="5ACCE497" w:rsidR="006B218A" w:rsidRPr="00C76292" w:rsidRDefault="006B218A" w:rsidP="005A3F12">
          <w:pPr>
            <w:pStyle w:val="Header"/>
            <w:jc w:val="right"/>
            <w:rPr>
              <w:color w:val="002060"/>
              <w:sz w:val="24"/>
              <w:szCs w:val="16"/>
              <w:lang w:val="en-CH"/>
            </w:rPr>
          </w:pPr>
          <w:r>
            <w:rPr>
              <w:color w:val="002060"/>
              <w:sz w:val="24"/>
              <w:szCs w:val="16"/>
              <w:lang w:val="en-CH"/>
            </w:rPr>
            <w:t>Job Description</w:t>
          </w:r>
        </w:p>
      </w:tc>
    </w:tr>
  </w:tbl>
  <w:p w14:paraId="6DAFDF0B" w14:textId="77777777" w:rsidR="008C08A7" w:rsidRPr="008C08A7" w:rsidRDefault="008C08A7" w:rsidP="008C0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5BB2" w14:textId="77777777" w:rsidR="007D251B" w:rsidRDefault="007D2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6AF7"/>
    <w:multiLevelType w:val="hybridMultilevel"/>
    <w:tmpl w:val="8334F2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0A65B3"/>
    <w:multiLevelType w:val="hybridMultilevel"/>
    <w:tmpl w:val="BF7ED310"/>
    <w:lvl w:ilvl="0" w:tplc="4E0478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C3A0B"/>
    <w:multiLevelType w:val="hybridMultilevel"/>
    <w:tmpl w:val="0BF640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2F1F676F"/>
    <w:multiLevelType w:val="hybridMultilevel"/>
    <w:tmpl w:val="07C2DC7C"/>
    <w:lvl w:ilvl="0" w:tplc="689A5BD2">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2BE71BA"/>
    <w:multiLevelType w:val="hybridMultilevel"/>
    <w:tmpl w:val="28DC092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5" w15:restartNumberingAfterBreak="0">
    <w:nsid w:val="37B00BA1"/>
    <w:multiLevelType w:val="hybridMultilevel"/>
    <w:tmpl w:val="92D8DC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15:restartNumberingAfterBreak="0">
    <w:nsid w:val="5A8A27FB"/>
    <w:multiLevelType w:val="hybridMultilevel"/>
    <w:tmpl w:val="F3AA441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67BB3E39"/>
    <w:multiLevelType w:val="hybridMultilevel"/>
    <w:tmpl w:val="814CB6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79494A7B"/>
    <w:multiLevelType w:val="hybridMultilevel"/>
    <w:tmpl w:val="504000F2"/>
    <w:lvl w:ilvl="0" w:tplc="08070001">
      <w:start w:val="1"/>
      <w:numFmt w:val="bullet"/>
      <w:lvlText w:val=""/>
      <w:lvlJc w:val="left"/>
      <w:pPr>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7A2418B8"/>
    <w:multiLevelType w:val="hybridMultilevel"/>
    <w:tmpl w:val="DF4AB6A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38890672">
    <w:abstractNumId w:val="3"/>
  </w:num>
  <w:num w:numId="2" w16cid:durableId="278536456">
    <w:abstractNumId w:val="0"/>
  </w:num>
  <w:num w:numId="3" w16cid:durableId="2130470971">
    <w:abstractNumId w:val="4"/>
  </w:num>
  <w:num w:numId="4" w16cid:durableId="1213226139">
    <w:abstractNumId w:val="8"/>
  </w:num>
  <w:num w:numId="5" w16cid:durableId="872427476">
    <w:abstractNumId w:val="7"/>
  </w:num>
  <w:num w:numId="6" w16cid:durableId="1464350173">
    <w:abstractNumId w:val="5"/>
  </w:num>
  <w:num w:numId="7" w16cid:durableId="1141995572">
    <w:abstractNumId w:val="9"/>
  </w:num>
  <w:num w:numId="8" w16cid:durableId="1843623953">
    <w:abstractNumId w:val="2"/>
  </w:num>
  <w:num w:numId="9" w16cid:durableId="1234974160">
    <w:abstractNumId w:val="2"/>
  </w:num>
  <w:num w:numId="10" w16cid:durableId="1074475243">
    <w:abstractNumId w:val="6"/>
  </w:num>
  <w:num w:numId="11" w16cid:durableId="194283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A"/>
    <w:rsid w:val="00001BA6"/>
    <w:rsid w:val="00040786"/>
    <w:rsid w:val="00040BCD"/>
    <w:rsid w:val="00051B80"/>
    <w:rsid w:val="000873E8"/>
    <w:rsid w:val="000E34D6"/>
    <w:rsid w:val="000F4E5C"/>
    <w:rsid w:val="001B4AB1"/>
    <w:rsid w:val="001E0592"/>
    <w:rsid w:val="00217068"/>
    <w:rsid w:val="0022144B"/>
    <w:rsid w:val="00266CBC"/>
    <w:rsid w:val="00277C6C"/>
    <w:rsid w:val="002B340D"/>
    <w:rsid w:val="00305CBB"/>
    <w:rsid w:val="00334011"/>
    <w:rsid w:val="00347921"/>
    <w:rsid w:val="00393CEF"/>
    <w:rsid w:val="00476261"/>
    <w:rsid w:val="004765AD"/>
    <w:rsid w:val="004B0EE3"/>
    <w:rsid w:val="004E191C"/>
    <w:rsid w:val="00516B31"/>
    <w:rsid w:val="00552EF8"/>
    <w:rsid w:val="005620D0"/>
    <w:rsid w:val="00580D1F"/>
    <w:rsid w:val="005A3F12"/>
    <w:rsid w:val="005B3F94"/>
    <w:rsid w:val="005F397C"/>
    <w:rsid w:val="006205AA"/>
    <w:rsid w:val="006273B9"/>
    <w:rsid w:val="006715E8"/>
    <w:rsid w:val="006B218A"/>
    <w:rsid w:val="006E0E6B"/>
    <w:rsid w:val="007D251B"/>
    <w:rsid w:val="007E2069"/>
    <w:rsid w:val="007E4DF7"/>
    <w:rsid w:val="00846391"/>
    <w:rsid w:val="00847B69"/>
    <w:rsid w:val="008A3EA4"/>
    <w:rsid w:val="008C08A7"/>
    <w:rsid w:val="008F66A7"/>
    <w:rsid w:val="00905765"/>
    <w:rsid w:val="00931943"/>
    <w:rsid w:val="00933578"/>
    <w:rsid w:val="0093372D"/>
    <w:rsid w:val="00943C2A"/>
    <w:rsid w:val="00957313"/>
    <w:rsid w:val="00A62F61"/>
    <w:rsid w:val="00A71A5F"/>
    <w:rsid w:val="00A82056"/>
    <w:rsid w:val="00AA38F4"/>
    <w:rsid w:val="00AD7DB9"/>
    <w:rsid w:val="00B27A4F"/>
    <w:rsid w:val="00B5021A"/>
    <w:rsid w:val="00B56C42"/>
    <w:rsid w:val="00B74FDB"/>
    <w:rsid w:val="00B80B86"/>
    <w:rsid w:val="00B96B41"/>
    <w:rsid w:val="00BB37B7"/>
    <w:rsid w:val="00C16114"/>
    <w:rsid w:val="00C23CBC"/>
    <w:rsid w:val="00C24CF7"/>
    <w:rsid w:val="00C70ED2"/>
    <w:rsid w:val="00C76292"/>
    <w:rsid w:val="00C9339B"/>
    <w:rsid w:val="00CB48A1"/>
    <w:rsid w:val="00CE79A7"/>
    <w:rsid w:val="00D22D64"/>
    <w:rsid w:val="00D716B6"/>
    <w:rsid w:val="00D74322"/>
    <w:rsid w:val="00D86460"/>
    <w:rsid w:val="00E15CA3"/>
    <w:rsid w:val="00EF0FAB"/>
    <w:rsid w:val="00F0630D"/>
    <w:rsid w:val="00F30943"/>
    <w:rsid w:val="00F4422C"/>
    <w:rsid w:val="00F47B13"/>
    <w:rsid w:val="00F509E1"/>
    <w:rsid w:val="00F95EB1"/>
    <w:rsid w:val="00FB7137"/>
    <w:rsid w:val="00FC16C4"/>
    <w:rsid w:val="00FF147A"/>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C8C9"/>
  <w15:chartTrackingRefBased/>
  <w15:docId w15:val="{DDE3CA3C-2ACC-4B27-8294-695ADBDF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8A"/>
    <w:rPr>
      <w:rFonts w:eastAsiaTheme="minorEastAsia"/>
      <w:sz w:val="24"/>
      <w:szCs w:val="24"/>
      <w:lang w:val="en-US"/>
    </w:rPr>
  </w:style>
  <w:style w:type="paragraph" w:styleId="Heading1">
    <w:name w:val="heading 1"/>
    <w:basedOn w:val="Normal"/>
    <w:next w:val="Normal"/>
    <w:link w:val="Heading1Char"/>
    <w:uiPriority w:val="9"/>
    <w:qFormat/>
    <w:rsid w:val="0022144B"/>
    <w:pPr>
      <w:keepNext/>
      <w:keepLines/>
      <w:spacing w:before="240"/>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8A7"/>
    <w:pPr>
      <w:tabs>
        <w:tab w:val="center" w:pos="4536"/>
        <w:tab w:val="right" w:pos="9072"/>
      </w:tabs>
    </w:pPr>
    <w:rPr>
      <w:rFonts w:eastAsiaTheme="minorHAnsi"/>
      <w:sz w:val="22"/>
      <w:szCs w:val="22"/>
      <w:lang w:val="en-GB"/>
    </w:rPr>
  </w:style>
  <w:style w:type="character" w:customStyle="1" w:styleId="HeaderChar">
    <w:name w:val="Header Char"/>
    <w:basedOn w:val="DefaultParagraphFont"/>
    <w:link w:val="Header"/>
    <w:uiPriority w:val="99"/>
    <w:rsid w:val="008C08A7"/>
  </w:style>
  <w:style w:type="paragraph" w:styleId="Footer">
    <w:name w:val="footer"/>
    <w:basedOn w:val="Normal"/>
    <w:link w:val="FooterChar"/>
    <w:unhideWhenUsed/>
    <w:rsid w:val="008C08A7"/>
    <w:pPr>
      <w:tabs>
        <w:tab w:val="center" w:pos="4536"/>
        <w:tab w:val="right" w:pos="9072"/>
      </w:tabs>
    </w:pPr>
    <w:rPr>
      <w:rFonts w:eastAsiaTheme="minorHAnsi"/>
      <w:sz w:val="22"/>
      <w:szCs w:val="22"/>
      <w:lang w:val="en-GB"/>
    </w:rPr>
  </w:style>
  <w:style w:type="character" w:customStyle="1" w:styleId="FooterChar">
    <w:name w:val="Footer Char"/>
    <w:basedOn w:val="DefaultParagraphFont"/>
    <w:link w:val="Footer"/>
    <w:uiPriority w:val="99"/>
    <w:rsid w:val="008C08A7"/>
  </w:style>
  <w:style w:type="character" w:styleId="PageNumber">
    <w:name w:val="page number"/>
    <w:basedOn w:val="DefaultParagraphFont"/>
    <w:rsid w:val="008C08A7"/>
  </w:style>
  <w:style w:type="paragraph" w:styleId="ListParagraph">
    <w:name w:val="List Paragraph"/>
    <w:basedOn w:val="Normal"/>
    <w:uiPriority w:val="34"/>
    <w:qFormat/>
    <w:rsid w:val="00F95EB1"/>
    <w:pPr>
      <w:ind w:left="720"/>
      <w:contextualSpacing/>
    </w:pPr>
    <w:rPr>
      <w:rFonts w:eastAsiaTheme="minorHAnsi"/>
      <w:sz w:val="22"/>
      <w:szCs w:val="22"/>
      <w:lang w:val="en-GB"/>
    </w:rPr>
  </w:style>
  <w:style w:type="table" w:styleId="TableGrid">
    <w:name w:val="Table Grid"/>
    <w:basedOn w:val="TableNormal"/>
    <w:uiPriority w:val="59"/>
    <w:rsid w:val="0084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847B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305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CBB"/>
    <w:rPr>
      <w:rFonts w:ascii="Segoe UI" w:hAnsi="Segoe UI" w:cs="Segoe UI"/>
      <w:sz w:val="18"/>
      <w:szCs w:val="18"/>
    </w:rPr>
  </w:style>
  <w:style w:type="character" w:customStyle="1" w:styleId="Heading1Char">
    <w:name w:val="Heading 1 Char"/>
    <w:basedOn w:val="DefaultParagraphFont"/>
    <w:link w:val="Heading1"/>
    <w:uiPriority w:val="9"/>
    <w:rsid w:val="0022144B"/>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0215">
      <w:bodyDiv w:val="1"/>
      <w:marLeft w:val="0"/>
      <w:marRight w:val="0"/>
      <w:marTop w:val="0"/>
      <w:marBottom w:val="0"/>
      <w:divBdr>
        <w:top w:val="none" w:sz="0" w:space="0" w:color="auto"/>
        <w:left w:val="none" w:sz="0" w:space="0" w:color="auto"/>
        <w:bottom w:val="none" w:sz="0" w:space="0" w:color="auto"/>
        <w:right w:val="none" w:sz="0" w:space="0" w:color="auto"/>
      </w:divBdr>
    </w:div>
    <w:div w:id="278993816">
      <w:bodyDiv w:val="1"/>
      <w:marLeft w:val="0"/>
      <w:marRight w:val="0"/>
      <w:marTop w:val="0"/>
      <w:marBottom w:val="0"/>
      <w:divBdr>
        <w:top w:val="none" w:sz="0" w:space="0" w:color="auto"/>
        <w:left w:val="none" w:sz="0" w:space="0" w:color="auto"/>
        <w:bottom w:val="none" w:sz="0" w:space="0" w:color="auto"/>
        <w:right w:val="none" w:sz="0" w:space="0" w:color="auto"/>
      </w:divBdr>
    </w:div>
    <w:div w:id="303200268">
      <w:bodyDiv w:val="1"/>
      <w:marLeft w:val="0"/>
      <w:marRight w:val="0"/>
      <w:marTop w:val="0"/>
      <w:marBottom w:val="0"/>
      <w:divBdr>
        <w:top w:val="none" w:sz="0" w:space="0" w:color="auto"/>
        <w:left w:val="none" w:sz="0" w:space="0" w:color="auto"/>
        <w:bottom w:val="none" w:sz="0" w:space="0" w:color="auto"/>
        <w:right w:val="none" w:sz="0" w:space="0" w:color="auto"/>
      </w:divBdr>
    </w:div>
    <w:div w:id="325012500">
      <w:bodyDiv w:val="1"/>
      <w:marLeft w:val="0"/>
      <w:marRight w:val="0"/>
      <w:marTop w:val="0"/>
      <w:marBottom w:val="0"/>
      <w:divBdr>
        <w:top w:val="none" w:sz="0" w:space="0" w:color="auto"/>
        <w:left w:val="none" w:sz="0" w:space="0" w:color="auto"/>
        <w:bottom w:val="none" w:sz="0" w:space="0" w:color="auto"/>
        <w:right w:val="none" w:sz="0" w:space="0" w:color="auto"/>
      </w:divBdr>
    </w:div>
    <w:div w:id="491288602">
      <w:bodyDiv w:val="1"/>
      <w:marLeft w:val="0"/>
      <w:marRight w:val="0"/>
      <w:marTop w:val="0"/>
      <w:marBottom w:val="0"/>
      <w:divBdr>
        <w:top w:val="none" w:sz="0" w:space="0" w:color="auto"/>
        <w:left w:val="none" w:sz="0" w:space="0" w:color="auto"/>
        <w:bottom w:val="none" w:sz="0" w:space="0" w:color="auto"/>
        <w:right w:val="none" w:sz="0" w:space="0" w:color="auto"/>
      </w:divBdr>
    </w:div>
    <w:div w:id="669941092">
      <w:bodyDiv w:val="1"/>
      <w:marLeft w:val="0"/>
      <w:marRight w:val="0"/>
      <w:marTop w:val="0"/>
      <w:marBottom w:val="0"/>
      <w:divBdr>
        <w:top w:val="none" w:sz="0" w:space="0" w:color="auto"/>
        <w:left w:val="none" w:sz="0" w:space="0" w:color="auto"/>
        <w:bottom w:val="none" w:sz="0" w:space="0" w:color="auto"/>
        <w:right w:val="none" w:sz="0" w:space="0" w:color="auto"/>
      </w:divBdr>
    </w:div>
    <w:div w:id="930816958">
      <w:bodyDiv w:val="1"/>
      <w:marLeft w:val="0"/>
      <w:marRight w:val="0"/>
      <w:marTop w:val="0"/>
      <w:marBottom w:val="0"/>
      <w:divBdr>
        <w:top w:val="none" w:sz="0" w:space="0" w:color="auto"/>
        <w:left w:val="none" w:sz="0" w:space="0" w:color="auto"/>
        <w:bottom w:val="none" w:sz="0" w:space="0" w:color="auto"/>
        <w:right w:val="none" w:sz="0" w:space="0" w:color="auto"/>
      </w:divBdr>
    </w:div>
    <w:div w:id="974524143">
      <w:bodyDiv w:val="1"/>
      <w:marLeft w:val="0"/>
      <w:marRight w:val="0"/>
      <w:marTop w:val="0"/>
      <w:marBottom w:val="0"/>
      <w:divBdr>
        <w:top w:val="none" w:sz="0" w:space="0" w:color="auto"/>
        <w:left w:val="none" w:sz="0" w:space="0" w:color="auto"/>
        <w:bottom w:val="none" w:sz="0" w:space="0" w:color="auto"/>
        <w:right w:val="none" w:sz="0" w:space="0" w:color="auto"/>
      </w:divBdr>
    </w:div>
    <w:div w:id="1095828826">
      <w:bodyDiv w:val="1"/>
      <w:marLeft w:val="0"/>
      <w:marRight w:val="0"/>
      <w:marTop w:val="0"/>
      <w:marBottom w:val="0"/>
      <w:divBdr>
        <w:top w:val="none" w:sz="0" w:space="0" w:color="auto"/>
        <w:left w:val="none" w:sz="0" w:space="0" w:color="auto"/>
        <w:bottom w:val="none" w:sz="0" w:space="0" w:color="auto"/>
        <w:right w:val="none" w:sz="0" w:space="0" w:color="auto"/>
      </w:divBdr>
    </w:div>
    <w:div w:id="1421222270">
      <w:bodyDiv w:val="1"/>
      <w:marLeft w:val="0"/>
      <w:marRight w:val="0"/>
      <w:marTop w:val="0"/>
      <w:marBottom w:val="0"/>
      <w:divBdr>
        <w:top w:val="none" w:sz="0" w:space="0" w:color="auto"/>
        <w:left w:val="none" w:sz="0" w:space="0" w:color="auto"/>
        <w:bottom w:val="none" w:sz="0" w:space="0" w:color="auto"/>
        <w:right w:val="none" w:sz="0" w:space="0" w:color="auto"/>
      </w:divBdr>
    </w:div>
    <w:div w:id="1501583933">
      <w:bodyDiv w:val="1"/>
      <w:marLeft w:val="0"/>
      <w:marRight w:val="0"/>
      <w:marTop w:val="0"/>
      <w:marBottom w:val="0"/>
      <w:divBdr>
        <w:top w:val="none" w:sz="0" w:space="0" w:color="auto"/>
        <w:left w:val="none" w:sz="0" w:space="0" w:color="auto"/>
        <w:bottom w:val="none" w:sz="0" w:space="0" w:color="auto"/>
        <w:right w:val="none" w:sz="0" w:space="0" w:color="auto"/>
      </w:divBdr>
    </w:div>
    <w:div w:id="18364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00%20-%20Admin\99%20-%20Templates\T-A4%20Portra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F0D9-DABA-4685-A442-2894A2ED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T-A4 Portrait</Template>
  <TotalTime>0</TotalTime>
  <Pages>3</Pages>
  <Words>1334</Words>
  <Characters>7605</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Kobler</dc:creator>
  <cp:keywords/>
  <dc:description/>
  <cp:lastModifiedBy>Jeanette Kobler</cp:lastModifiedBy>
  <cp:revision>4</cp:revision>
  <cp:lastPrinted>2016-11-29T08:24:00Z</cp:lastPrinted>
  <dcterms:created xsi:type="dcterms:W3CDTF">2024-08-02T06:13:00Z</dcterms:created>
  <dcterms:modified xsi:type="dcterms:W3CDTF">2025-03-19T15:26:00Z</dcterms:modified>
</cp:coreProperties>
</file>